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FD" w:rsidRDefault="00956B5F" w:rsidP="003640FD">
      <w:pPr>
        <w:pStyle w:val="Title"/>
        <w:jc w:val="center"/>
      </w:pPr>
      <w:r>
        <w:t>A</w:t>
      </w:r>
      <w:r w:rsidR="00F14714">
        <w:t>LER</w:t>
      </w:r>
      <w:r>
        <w:t>R</w:t>
      </w:r>
      <w:r w:rsidR="00F14714">
        <w:t xml:space="preserve">T </w:t>
      </w:r>
      <w:r w:rsidR="00174C9C">
        <w:t>02</w:t>
      </w:r>
      <w:r w:rsidR="00F14714">
        <w:t xml:space="preserve"> November 2018</w:t>
      </w:r>
    </w:p>
    <w:p w:rsidR="00361DF1" w:rsidRPr="003640FD" w:rsidRDefault="003640FD" w:rsidP="003640FD">
      <w:pPr>
        <w:jc w:val="center"/>
        <w:rPr>
          <w:sz w:val="40"/>
        </w:rPr>
      </w:pPr>
      <w:r>
        <w:rPr>
          <w:sz w:val="40"/>
        </w:rPr>
        <w:t>The Next Generation Response to a Civilian MCI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8368"/>
      </w:tblGrid>
      <w:tr w:rsidR="00361DF1">
        <w:tc>
          <w:tcPr>
            <w:tcW w:w="1712" w:type="dxa"/>
          </w:tcPr>
          <w:p w:rsidR="00361DF1" w:rsidRDefault="007C3B9C">
            <w:pPr>
              <w:pStyle w:val="FormHeading"/>
            </w:pPr>
            <w:r>
              <w:t>Location:</w:t>
            </w:r>
          </w:p>
        </w:tc>
        <w:tc>
          <w:tcPr>
            <w:tcW w:w="8368" w:type="dxa"/>
          </w:tcPr>
          <w:p w:rsidR="00361DF1" w:rsidRDefault="00904394" w:rsidP="00904394">
            <w:pPr>
              <w:pStyle w:val="TableText"/>
            </w:pPr>
            <w:r>
              <w:t xml:space="preserve"> Gaylord Hotel, Dallas, Texas</w:t>
            </w:r>
          </w:p>
        </w:tc>
      </w:tr>
      <w:tr w:rsidR="00361DF1">
        <w:tc>
          <w:tcPr>
            <w:tcW w:w="1712" w:type="dxa"/>
          </w:tcPr>
          <w:p w:rsidR="00361DF1" w:rsidRDefault="007C3B9C">
            <w:pPr>
              <w:pStyle w:val="FormHeading"/>
            </w:pPr>
            <w:r>
              <w:t>Date:</w:t>
            </w:r>
          </w:p>
        </w:tc>
        <w:tc>
          <w:tcPr>
            <w:tcW w:w="8368" w:type="dxa"/>
          </w:tcPr>
          <w:p w:rsidR="00361DF1" w:rsidRDefault="00904394">
            <w:pPr>
              <w:pStyle w:val="TableText"/>
            </w:pPr>
            <w:r>
              <w:t>02 November – 03 November</w:t>
            </w:r>
          </w:p>
        </w:tc>
      </w:tr>
      <w:tr w:rsidR="00361DF1">
        <w:tc>
          <w:tcPr>
            <w:tcW w:w="1712" w:type="dxa"/>
          </w:tcPr>
          <w:p w:rsidR="00361DF1" w:rsidRDefault="007C3B9C">
            <w:pPr>
              <w:pStyle w:val="FormHeading"/>
            </w:pPr>
            <w:r>
              <w:t>Facilitator:</w:t>
            </w:r>
          </w:p>
        </w:tc>
        <w:tc>
          <w:tcPr>
            <w:tcW w:w="8368" w:type="dxa"/>
          </w:tcPr>
          <w:p w:rsidR="00D26C89" w:rsidRDefault="00D26C89">
            <w:pPr>
              <w:pStyle w:val="TableText"/>
            </w:pPr>
            <w:r>
              <w:t xml:space="preserve">Medical Directors: </w:t>
            </w:r>
            <w:r w:rsidR="00904394">
              <w:t xml:space="preserve">Alan Frankfurt MD, </w:t>
            </w:r>
            <w:r w:rsidR="006256D9">
              <w:t xml:space="preserve">Alex Eastman, MD, </w:t>
            </w:r>
            <w:r w:rsidR="00904394">
              <w:t>Jeff Cain, MD</w:t>
            </w:r>
            <w:r w:rsidR="003640FD">
              <w:t xml:space="preserve">, John </w:t>
            </w:r>
            <w:proofErr w:type="spellStart"/>
            <w:r w:rsidR="003640FD">
              <w:t>Curnutt</w:t>
            </w:r>
            <w:proofErr w:type="spellEnd"/>
          </w:p>
          <w:p w:rsidR="00361DF1" w:rsidRDefault="00D26C89">
            <w:pPr>
              <w:pStyle w:val="TableText"/>
            </w:pPr>
            <w:r>
              <w:t>Administrative Director: Michelle Hicks, PhD</w:t>
            </w:r>
          </w:p>
        </w:tc>
      </w:tr>
    </w:tbl>
    <w:p w:rsidR="00361DF1" w:rsidRDefault="007C3B9C" w:rsidP="003640FD">
      <w:pPr>
        <w:pStyle w:val="Heading1"/>
        <w:jc w:val="center"/>
      </w:pPr>
      <w:r>
        <w:t>Agenda items</w:t>
      </w:r>
      <w:r w:rsidR="00A45AFA">
        <w:t>: 02 November</w:t>
      </w:r>
    </w:p>
    <w:tbl>
      <w:tblPr>
        <w:tblW w:w="0" w:type="auto"/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904394">
        <w:trPr>
          <w:cantSplit/>
        </w:trPr>
        <w:tc>
          <w:tcPr>
            <w:tcW w:w="3060" w:type="dxa"/>
          </w:tcPr>
          <w:p w:rsidR="00904394" w:rsidRDefault="00904394" w:rsidP="00904394">
            <w:pPr>
              <w:pStyle w:val="RowHeading"/>
            </w:pPr>
            <w:r>
              <w:t xml:space="preserve">0630-0700 </w:t>
            </w:r>
          </w:p>
        </w:tc>
        <w:tc>
          <w:tcPr>
            <w:tcW w:w="7020" w:type="dxa"/>
          </w:tcPr>
          <w:p w:rsidR="00904394" w:rsidRDefault="00904394">
            <w:r>
              <w:t xml:space="preserve">Sign in </w:t>
            </w:r>
          </w:p>
          <w:p w:rsidR="00904394" w:rsidRDefault="00904394">
            <w:r>
              <w:t>Breakfast</w:t>
            </w:r>
          </w:p>
          <w:p w:rsidR="00904394" w:rsidRDefault="00904394"/>
        </w:tc>
      </w:tr>
      <w:tr w:rsidR="00224647">
        <w:trPr>
          <w:cantSplit/>
        </w:trPr>
        <w:tc>
          <w:tcPr>
            <w:tcW w:w="3060" w:type="dxa"/>
          </w:tcPr>
          <w:p w:rsidR="00224647" w:rsidRDefault="00224647" w:rsidP="00904394">
            <w:pPr>
              <w:pStyle w:val="RowHeading"/>
            </w:pPr>
            <w:r>
              <w:t>0700-0730</w:t>
            </w:r>
          </w:p>
        </w:tc>
        <w:tc>
          <w:tcPr>
            <w:tcW w:w="7020" w:type="dxa"/>
          </w:tcPr>
          <w:p w:rsidR="00224647" w:rsidRDefault="00224647">
            <w:r>
              <w:t>Welcome &amp; Introductions</w:t>
            </w:r>
          </w:p>
          <w:p w:rsidR="00224647" w:rsidRDefault="00224647">
            <w:r>
              <w:t>Plan of the day</w:t>
            </w:r>
          </w:p>
        </w:tc>
      </w:tr>
      <w:tr w:rsidR="00904394">
        <w:trPr>
          <w:cantSplit/>
        </w:trPr>
        <w:tc>
          <w:tcPr>
            <w:tcW w:w="3060" w:type="dxa"/>
          </w:tcPr>
          <w:p w:rsidR="00904394" w:rsidRDefault="00224647">
            <w:pPr>
              <w:pStyle w:val="RowHeading"/>
            </w:pPr>
            <w:r>
              <w:t>0730-0800</w:t>
            </w:r>
          </w:p>
        </w:tc>
        <w:tc>
          <w:tcPr>
            <w:tcW w:w="7020" w:type="dxa"/>
          </w:tcPr>
          <w:p w:rsidR="00904394" w:rsidRDefault="00904394">
            <w:r>
              <w:t>Richard Dutton, MD</w:t>
            </w:r>
          </w:p>
          <w:p w:rsidR="00904394" w:rsidRDefault="00904394">
            <w:r>
              <w:t>Physiology of shock: Dr. Fick, DaO2, VO2, oxygen debt &amp; oxygen debt repayment (the how and when).</w:t>
            </w:r>
          </w:p>
        </w:tc>
      </w:tr>
      <w:tr w:rsidR="00904394">
        <w:trPr>
          <w:cantSplit/>
        </w:trPr>
        <w:tc>
          <w:tcPr>
            <w:tcW w:w="3060" w:type="dxa"/>
          </w:tcPr>
          <w:p w:rsidR="00904394" w:rsidRDefault="00224647">
            <w:pPr>
              <w:pStyle w:val="RowHeading"/>
            </w:pPr>
            <w:r>
              <w:t>0810-0840</w:t>
            </w:r>
          </w:p>
        </w:tc>
        <w:tc>
          <w:tcPr>
            <w:tcW w:w="7020" w:type="dxa"/>
          </w:tcPr>
          <w:p w:rsidR="00904394" w:rsidRDefault="00904394">
            <w:r>
              <w:t>Andre Cap, MD</w:t>
            </w:r>
            <w:r w:rsidR="00086DDF">
              <w:t xml:space="preserve"> THOR session 1</w:t>
            </w:r>
          </w:p>
          <w:p w:rsidR="00904394" w:rsidRDefault="00904394">
            <w:r>
              <w:t>Shock, Coagulopathy and Blood failure.</w:t>
            </w:r>
          </w:p>
          <w:p w:rsidR="00904394" w:rsidRDefault="00904394">
            <w:r>
              <w:t>What is the physiologic basis behind</w:t>
            </w:r>
            <w:r w:rsidR="00BF7BB0">
              <w:t xml:space="preserve"> and consequences of blood failure? How and when should we</w:t>
            </w:r>
            <w:r>
              <w:t xml:space="preserve"> address blood failure as clinicians to minimize casualty morbidity and mortality in the pre</w:t>
            </w:r>
            <w:r w:rsidR="00BF7BB0">
              <w:t>-</w:t>
            </w:r>
            <w:r>
              <w:t xml:space="preserve">hospital, ER, OR and ICU </w:t>
            </w:r>
            <w:r w:rsidR="002E4131">
              <w:t>setting?</w:t>
            </w:r>
            <w:r>
              <w:t xml:space="preserve"> </w:t>
            </w:r>
          </w:p>
        </w:tc>
      </w:tr>
      <w:tr w:rsidR="00904394">
        <w:trPr>
          <w:cantSplit/>
        </w:trPr>
        <w:tc>
          <w:tcPr>
            <w:tcW w:w="3060" w:type="dxa"/>
          </w:tcPr>
          <w:p w:rsidR="00904394" w:rsidRDefault="00224647">
            <w:pPr>
              <w:pStyle w:val="RowHeading"/>
            </w:pPr>
            <w:r>
              <w:t>0850-0920</w:t>
            </w:r>
          </w:p>
        </w:tc>
        <w:tc>
          <w:tcPr>
            <w:tcW w:w="7020" w:type="dxa"/>
          </w:tcPr>
          <w:p w:rsidR="00513D89" w:rsidRDefault="00086DDF">
            <w:r>
              <w:t>Phil Spinella, MD THOR session 2</w:t>
            </w:r>
          </w:p>
          <w:p w:rsidR="00904394" w:rsidRDefault="00513D89" w:rsidP="00513D89">
            <w:r>
              <w:t>Whole blood 101: historical perspective of WB, why WB disappeared as a resuscitation fluid in hemorrhagic shock</w:t>
            </w:r>
            <w:r w:rsidR="00766A93">
              <w:t xml:space="preserve"> and is WB making a comeback? Is </w:t>
            </w:r>
            <w:r w:rsidR="00EE1562">
              <w:t>WB the ideal resuscitation fluid for pre-hospital and early resuscitation from hemorrhagic shock</w:t>
            </w:r>
            <w:r w:rsidR="00766A93">
              <w:t xml:space="preserve"> and if so why?</w:t>
            </w:r>
            <w:r w:rsidR="00FA1A70">
              <w:t xml:space="preserve"> THOR consortium.</w:t>
            </w:r>
            <w:bookmarkStart w:id="0" w:name="_GoBack"/>
            <w:bookmarkEnd w:id="0"/>
            <w:r w:rsidR="00FA1A70">
              <w:t xml:space="preserve"> </w:t>
            </w:r>
          </w:p>
        </w:tc>
      </w:tr>
      <w:tr w:rsidR="00904394">
        <w:trPr>
          <w:cantSplit/>
        </w:trPr>
        <w:tc>
          <w:tcPr>
            <w:tcW w:w="3060" w:type="dxa"/>
          </w:tcPr>
          <w:p w:rsidR="00904394" w:rsidRDefault="00224647">
            <w:pPr>
              <w:pStyle w:val="RowHeading"/>
            </w:pPr>
            <w:r>
              <w:lastRenderedPageBreak/>
              <w:t>0930-1000</w:t>
            </w:r>
          </w:p>
        </w:tc>
        <w:tc>
          <w:tcPr>
            <w:tcW w:w="7020" w:type="dxa"/>
          </w:tcPr>
          <w:p w:rsidR="00513D89" w:rsidRDefault="00086DDF">
            <w:r>
              <w:t>Phil Spinella, MD THOR session 3</w:t>
            </w:r>
          </w:p>
          <w:p w:rsidR="00513D89" w:rsidRDefault="00513D89">
            <w:r>
              <w:t>Defining “fresh” WB products and their properties: FWWB, FCWB and CWB</w:t>
            </w:r>
          </w:p>
          <w:p w:rsidR="00904394" w:rsidRDefault="00513D89">
            <w:r>
              <w:t xml:space="preserve">Why should we be using WB for </w:t>
            </w:r>
            <w:r w:rsidR="00453247">
              <w:t>hemorrhagic</w:t>
            </w:r>
            <w:r>
              <w:t xml:space="preserve"> shock when 1:1:1 works so well</w:t>
            </w:r>
            <w:r w:rsidR="00766A93">
              <w:t>?</w:t>
            </w:r>
          </w:p>
        </w:tc>
      </w:tr>
      <w:tr w:rsidR="007C3B9C">
        <w:trPr>
          <w:cantSplit/>
        </w:trPr>
        <w:tc>
          <w:tcPr>
            <w:tcW w:w="3060" w:type="dxa"/>
          </w:tcPr>
          <w:p w:rsidR="007C3B9C" w:rsidRDefault="00224647">
            <w:pPr>
              <w:pStyle w:val="RowHeading"/>
            </w:pPr>
            <w:r>
              <w:t>1010-1040</w:t>
            </w:r>
          </w:p>
        </w:tc>
        <w:tc>
          <w:tcPr>
            <w:tcW w:w="7020" w:type="dxa"/>
          </w:tcPr>
          <w:p w:rsidR="007C3B9C" w:rsidRDefault="00086DDF">
            <w:r>
              <w:t>Don Jenkins, MD THOR session 4</w:t>
            </w:r>
          </w:p>
          <w:p w:rsidR="00766A93" w:rsidRDefault="007C3B9C">
            <w:r>
              <w:t>Whole blood programs: how to convince the</w:t>
            </w:r>
            <w:r w:rsidR="00520512">
              <w:t xml:space="preserve"> </w:t>
            </w:r>
            <w:r>
              <w:t>naysayers</w:t>
            </w:r>
            <w:r w:rsidR="00766A93">
              <w:t>.</w:t>
            </w:r>
          </w:p>
          <w:p w:rsidR="00520512" w:rsidRDefault="00520512">
            <w:r>
              <w:t xml:space="preserve">The nuts and bolts of setting up a WB program: the Mayo and San Antonio experience. </w:t>
            </w:r>
          </w:p>
          <w:p w:rsidR="007C3B9C" w:rsidRDefault="00520512">
            <w:r>
              <w:t>Brother in Arms program</w:t>
            </w:r>
          </w:p>
        </w:tc>
      </w:tr>
      <w:tr w:rsidR="002E4131">
        <w:trPr>
          <w:cantSplit/>
        </w:trPr>
        <w:tc>
          <w:tcPr>
            <w:tcW w:w="3060" w:type="dxa"/>
          </w:tcPr>
          <w:p w:rsidR="002E4131" w:rsidRDefault="002E4131">
            <w:pPr>
              <w:pStyle w:val="RowHeading"/>
            </w:pPr>
            <w:r>
              <w:t>1050-1120</w:t>
            </w:r>
          </w:p>
        </w:tc>
        <w:tc>
          <w:tcPr>
            <w:tcW w:w="7020" w:type="dxa"/>
          </w:tcPr>
          <w:p w:rsidR="0007245B" w:rsidRDefault="002E4131">
            <w:r>
              <w:t>Elizabeth Waltman THOR session 4</w:t>
            </w:r>
          </w:p>
          <w:p w:rsidR="0007245B" w:rsidRDefault="0007245B">
            <w:r>
              <w:t>CEO Blood Operations</w:t>
            </w:r>
          </w:p>
          <w:p w:rsidR="00766A93" w:rsidRDefault="0007245B">
            <w:r>
              <w:t>Executive Director, The Blood &amp; Tissue Center Foundation</w:t>
            </w:r>
          </w:p>
          <w:p w:rsidR="00766A93" w:rsidRDefault="00766A93">
            <w:r>
              <w:t>Can WB make “cents” to a Blood Bank’s Bottom line?</w:t>
            </w:r>
          </w:p>
          <w:p w:rsidR="002E4131" w:rsidRDefault="00766A93">
            <w:r>
              <w:t xml:space="preserve">How should we talk to blood banks when discussing the standing up and implementing a WB program? </w:t>
            </w:r>
          </w:p>
        </w:tc>
      </w:tr>
      <w:tr w:rsidR="00520512">
        <w:trPr>
          <w:cantSplit/>
          <w:trHeight w:val="2142"/>
        </w:trPr>
        <w:tc>
          <w:tcPr>
            <w:tcW w:w="3060" w:type="dxa"/>
          </w:tcPr>
          <w:p w:rsidR="00520512" w:rsidRDefault="002E4131">
            <w:pPr>
              <w:pStyle w:val="RowHeading"/>
            </w:pPr>
            <w:r>
              <w:t>1</w:t>
            </w:r>
            <w:r w:rsidR="000F4FBB">
              <w:t>1</w:t>
            </w:r>
            <w:r>
              <w:t>30-1200</w:t>
            </w:r>
          </w:p>
        </w:tc>
        <w:tc>
          <w:tcPr>
            <w:tcW w:w="7020" w:type="dxa"/>
          </w:tcPr>
          <w:p w:rsidR="00520512" w:rsidRDefault="00520512">
            <w:r>
              <w:t xml:space="preserve">Don Jenkins, </w:t>
            </w:r>
            <w:r w:rsidR="006E7832">
              <w:t>MD THOR</w:t>
            </w:r>
            <w:r w:rsidR="00086DDF">
              <w:t xml:space="preserve"> session 5</w:t>
            </w:r>
          </w:p>
          <w:p w:rsidR="009F5A1B" w:rsidRDefault="00520512">
            <w:r>
              <w:t xml:space="preserve">Triaging your blood supply during a civilian MCI: what can we learn from the military experience </w:t>
            </w:r>
            <w:r w:rsidR="00766A93">
              <w:t>during</w:t>
            </w:r>
            <w:r>
              <w:t xml:space="preserve"> the GWOT</w:t>
            </w:r>
          </w:p>
          <w:p w:rsidR="00520512" w:rsidRDefault="009F5A1B">
            <w:r>
              <w:t>Estimating blood product usage during MCI: Units/casualty, Unit/ISS, Units/?</w:t>
            </w:r>
          </w:p>
          <w:p w:rsidR="00520512" w:rsidRDefault="00520512">
            <w:r>
              <w:t>Walking blood banks and civilian MCI: a dead issue?</w:t>
            </w:r>
          </w:p>
        </w:tc>
      </w:tr>
      <w:tr w:rsidR="00520512">
        <w:trPr>
          <w:cantSplit/>
        </w:trPr>
        <w:tc>
          <w:tcPr>
            <w:tcW w:w="3060" w:type="dxa"/>
          </w:tcPr>
          <w:p w:rsidR="00520512" w:rsidRDefault="002E4131" w:rsidP="00224647">
            <w:pPr>
              <w:pStyle w:val="RowHeading"/>
            </w:pPr>
            <w:r>
              <w:t>1200-1230</w:t>
            </w:r>
          </w:p>
        </w:tc>
        <w:tc>
          <w:tcPr>
            <w:tcW w:w="7020" w:type="dxa"/>
          </w:tcPr>
          <w:p w:rsidR="002E4131" w:rsidRDefault="002E4131" w:rsidP="002E4131">
            <w:r>
              <w:t>Panel discussion</w:t>
            </w:r>
          </w:p>
          <w:p w:rsidR="002E4131" w:rsidRDefault="002E4131" w:rsidP="002E4131">
            <w:r>
              <w:t>Moderator: Alex Eastman, MD</w:t>
            </w:r>
          </w:p>
          <w:p w:rsidR="00520512" w:rsidRDefault="002E4131" w:rsidP="002E4131">
            <w:r>
              <w:t>Panelist: Drs. Dutton, Cap, Spinella and Jenkins</w:t>
            </w:r>
          </w:p>
        </w:tc>
      </w:tr>
      <w:tr w:rsidR="002C6C89">
        <w:trPr>
          <w:cantSplit/>
        </w:trPr>
        <w:tc>
          <w:tcPr>
            <w:tcW w:w="3060" w:type="dxa"/>
          </w:tcPr>
          <w:p w:rsidR="002C6C89" w:rsidRDefault="00224647">
            <w:pPr>
              <w:pStyle w:val="RowHeading"/>
            </w:pPr>
            <w:r>
              <w:t>1230-1330</w:t>
            </w:r>
          </w:p>
        </w:tc>
        <w:tc>
          <w:tcPr>
            <w:tcW w:w="7020" w:type="dxa"/>
          </w:tcPr>
          <w:p w:rsidR="002C6C89" w:rsidRDefault="002C6C89">
            <w:r>
              <w:t>Lunch</w:t>
            </w:r>
          </w:p>
        </w:tc>
      </w:tr>
      <w:tr w:rsidR="002C6C89">
        <w:trPr>
          <w:cantSplit/>
        </w:trPr>
        <w:tc>
          <w:tcPr>
            <w:tcW w:w="3060" w:type="dxa"/>
          </w:tcPr>
          <w:p w:rsidR="002C6C89" w:rsidRDefault="00224647">
            <w:pPr>
              <w:pStyle w:val="RowHeading"/>
            </w:pPr>
            <w:r>
              <w:t>1340-1410</w:t>
            </w:r>
          </w:p>
        </w:tc>
        <w:tc>
          <w:tcPr>
            <w:tcW w:w="7020" w:type="dxa"/>
          </w:tcPr>
          <w:p w:rsidR="002E4131" w:rsidRDefault="00086DDF" w:rsidP="002E4131">
            <w:r>
              <w:t>Andre Cap, MD THOR session 5</w:t>
            </w:r>
          </w:p>
          <w:p w:rsidR="002E4131" w:rsidRDefault="002E4131" w:rsidP="002E4131">
            <w:r>
              <w:t>Non blood based resuscitation:</w:t>
            </w:r>
          </w:p>
          <w:p w:rsidR="002E4131" w:rsidRDefault="002E4131" w:rsidP="002E4131">
            <w:r>
              <w:t>Albumin, TXA, Fibrinogen concentrate and calcium</w:t>
            </w:r>
          </w:p>
          <w:p w:rsidR="002C6C89" w:rsidRDefault="002C6C89" w:rsidP="002C6C89"/>
        </w:tc>
      </w:tr>
      <w:tr w:rsidR="00F14714">
        <w:trPr>
          <w:cantSplit/>
        </w:trPr>
        <w:tc>
          <w:tcPr>
            <w:tcW w:w="3060" w:type="dxa"/>
          </w:tcPr>
          <w:p w:rsidR="00F14714" w:rsidRDefault="00224647">
            <w:pPr>
              <w:pStyle w:val="RowHeading"/>
            </w:pPr>
            <w:r>
              <w:lastRenderedPageBreak/>
              <w:t>1420-1450</w:t>
            </w:r>
          </w:p>
        </w:tc>
        <w:tc>
          <w:tcPr>
            <w:tcW w:w="7020" w:type="dxa"/>
          </w:tcPr>
          <w:p w:rsidR="002E4131" w:rsidRDefault="002E4131" w:rsidP="002E4131">
            <w:r>
              <w:t>Drs. Holcomb and Young</w:t>
            </w:r>
          </w:p>
          <w:p w:rsidR="002E4131" w:rsidRDefault="002E4131" w:rsidP="002E4131">
            <w:r>
              <w:t>Dr. Young: blast physics for dummies</w:t>
            </w:r>
          </w:p>
          <w:p w:rsidR="00F14714" w:rsidRDefault="002E4131" w:rsidP="00766A93">
            <w:r>
              <w:t xml:space="preserve">Dr. Holcomb: open vs closed space explosions and </w:t>
            </w:r>
            <w:r w:rsidR="00766A93">
              <w:t xml:space="preserve">blast injures; what does the civilian trauma surgeon and resuscitation providers need to know? </w:t>
            </w:r>
          </w:p>
        </w:tc>
      </w:tr>
      <w:tr w:rsidR="00F14714">
        <w:trPr>
          <w:cantSplit/>
        </w:trPr>
        <w:tc>
          <w:tcPr>
            <w:tcW w:w="3060" w:type="dxa"/>
          </w:tcPr>
          <w:p w:rsidR="00F14714" w:rsidRDefault="00224647">
            <w:pPr>
              <w:pStyle w:val="RowHeading"/>
            </w:pPr>
            <w:r>
              <w:t>1500-1530</w:t>
            </w:r>
          </w:p>
        </w:tc>
        <w:tc>
          <w:tcPr>
            <w:tcW w:w="7020" w:type="dxa"/>
          </w:tcPr>
          <w:p w:rsidR="002E4131" w:rsidRDefault="002E4131" w:rsidP="002E4131">
            <w:r>
              <w:t>Geoff Ling, MD</w:t>
            </w:r>
          </w:p>
          <w:p w:rsidR="00F14714" w:rsidRDefault="002E4131" w:rsidP="002E4131">
            <w:r>
              <w:t>Update of TBI</w:t>
            </w:r>
          </w:p>
        </w:tc>
      </w:tr>
      <w:tr w:rsidR="00F14714">
        <w:trPr>
          <w:cantSplit/>
        </w:trPr>
        <w:tc>
          <w:tcPr>
            <w:tcW w:w="3060" w:type="dxa"/>
          </w:tcPr>
          <w:p w:rsidR="00F14714" w:rsidRDefault="00224647">
            <w:pPr>
              <w:pStyle w:val="RowHeading"/>
            </w:pPr>
            <w:r>
              <w:t>1540-1610</w:t>
            </w:r>
          </w:p>
        </w:tc>
        <w:tc>
          <w:tcPr>
            <w:tcW w:w="7020" w:type="dxa"/>
          </w:tcPr>
          <w:p w:rsidR="002E4131" w:rsidRDefault="002E4131" w:rsidP="002E4131">
            <w:r>
              <w:t>Geoff Ling, MD</w:t>
            </w:r>
            <w:r w:rsidR="00086DDF">
              <w:t xml:space="preserve"> THOR session 6</w:t>
            </w:r>
          </w:p>
          <w:p w:rsidR="00F14714" w:rsidRDefault="002E4131" w:rsidP="002E4131">
            <w:r>
              <w:t xml:space="preserve">Game of drones: medical supplies and patient transport. </w:t>
            </w:r>
          </w:p>
        </w:tc>
      </w:tr>
      <w:tr w:rsidR="0076458E">
        <w:trPr>
          <w:cantSplit/>
        </w:trPr>
        <w:tc>
          <w:tcPr>
            <w:tcW w:w="3060" w:type="dxa"/>
          </w:tcPr>
          <w:p w:rsidR="0076458E" w:rsidRDefault="00224647">
            <w:pPr>
              <w:pStyle w:val="RowHeading"/>
            </w:pPr>
            <w:r>
              <w:t>1610-1630</w:t>
            </w:r>
          </w:p>
        </w:tc>
        <w:tc>
          <w:tcPr>
            <w:tcW w:w="7020" w:type="dxa"/>
          </w:tcPr>
          <w:p w:rsidR="002E4131" w:rsidRDefault="002E4131" w:rsidP="002E4131">
            <w:r>
              <w:t>Richard Dutton</w:t>
            </w:r>
            <w:r w:rsidR="00086DDF">
              <w:t xml:space="preserve"> THOR session 7</w:t>
            </w:r>
          </w:p>
          <w:p w:rsidR="002E4131" w:rsidRDefault="002E4131" w:rsidP="002E4131">
            <w:r>
              <w:t>Damage Control Anesthesia (DCA)</w:t>
            </w:r>
          </w:p>
          <w:p w:rsidR="002E4131" w:rsidRDefault="002E4131" w:rsidP="002E4131">
            <w:r>
              <w:t>Shedding new ligh</w:t>
            </w:r>
            <w:r w:rsidR="00A37304">
              <w:t>t on “hypotensive resuscitation: h</w:t>
            </w:r>
            <w:r>
              <w:t>aving your cake and eating it too (low blood pressure and high organ perfusion)</w:t>
            </w:r>
          </w:p>
          <w:p w:rsidR="0076458E" w:rsidRDefault="002E4131" w:rsidP="002E4131">
            <w:r>
              <w:t>RSI (Resuscitation Sequenced Intubation) in the trauma patient in hemorrhagic shock</w:t>
            </w:r>
            <w:r w:rsidR="00A37304">
              <w:t>: doing no harm.</w:t>
            </w:r>
          </w:p>
        </w:tc>
      </w:tr>
      <w:tr w:rsidR="00224647">
        <w:trPr>
          <w:cantSplit/>
        </w:trPr>
        <w:tc>
          <w:tcPr>
            <w:tcW w:w="3060" w:type="dxa"/>
          </w:tcPr>
          <w:p w:rsidR="00224647" w:rsidRDefault="00224647">
            <w:pPr>
              <w:pStyle w:val="RowHeading"/>
            </w:pPr>
            <w:r>
              <w:t>1630</w:t>
            </w:r>
            <w:r w:rsidR="002E4131">
              <w:t>-1700</w:t>
            </w:r>
          </w:p>
        </w:tc>
        <w:tc>
          <w:tcPr>
            <w:tcW w:w="7020" w:type="dxa"/>
          </w:tcPr>
          <w:p w:rsidR="002E4131" w:rsidRDefault="002E4131" w:rsidP="002E4131">
            <w:r>
              <w:t>Moderator: Holcomb</w:t>
            </w:r>
          </w:p>
          <w:p w:rsidR="00224647" w:rsidRDefault="002E4131" w:rsidP="002E4131">
            <w:r>
              <w:t>Panel disc</w:t>
            </w:r>
            <w:r w:rsidR="006256D9">
              <w:t xml:space="preserve">ussion: Dr. Holcomb, Young, </w:t>
            </w:r>
            <w:r>
              <w:t>&amp; Ling and Dutton</w:t>
            </w:r>
          </w:p>
        </w:tc>
      </w:tr>
      <w:tr w:rsidR="002E4131">
        <w:trPr>
          <w:cantSplit/>
        </w:trPr>
        <w:tc>
          <w:tcPr>
            <w:tcW w:w="3060" w:type="dxa"/>
          </w:tcPr>
          <w:p w:rsidR="002E4131" w:rsidRDefault="002E4131">
            <w:pPr>
              <w:pStyle w:val="RowHeading"/>
            </w:pPr>
          </w:p>
        </w:tc>
        <w:tc>
          <w:tcPr>
            <w:tcW w:w="7020" w:type="dxa"/>
          </w:tcPr>
          <w:p w:rsidR="002E4131" w:rsidRDefault="002E4131" w:rsidP="002C6C89">
            <w:r>
              <w:t>Adjourn for Day #1</w:t>
            </w:r>
          </w:p>
        </w:tc>
      </w:tr>
    </w:tbl>
    <w:p w:rsidR="00361DF1" w:rsidRDefault="007C3B9C">
      <w:pPr>
        <w:pStyle w:val="Heading2"/>
      </w:pPr>
      <w:r>
        <w:t>Additional information</w:t>
      </w:r>
    </w:p>
    <w:p w:rsidR="00361DF1" w:rsidRDefault="007C3B9C">
      <w:r>
        <w:t>Add additional instructions or comments here.</w:t>
      </w:r>
    </w:p>
    <w:sectPr w:rsidR="00361DF1" w:rsidSect="00361DF1">
      <w:headerReference w:type="even" r:id="rId7"/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80A" w:rsidRDefault="00D1280A">
      <w:pPr>
        <w:spacing w:after="0" w:line="240" w:lineRule="auto"/>
      </w:pPr>
      <w:r>
        <w:separator/>
      </w:r>
    </w:p>
  </w:endnote>
  <w:endnote w:type="continuationSeparator" w:id="0">
    <w:p w:rsidR="00D1280A" w:rsidRDefault="00D1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C89" w:rsidRDefault="00D1280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256D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80A" w:rsidRDefault="00D1280A">
      <w:pPr>
        <w:spacing w:after="0" w:line="240" w:lineRule="auto"/>
      </w:pPr>
      <w:r>
        <w:separator/>
      </w:r>
    </w:p>
  </w:footnote>
  <w:footnote w:type="continuationSeparator" w:id="0">
    <w:p w:rsidR="00D1280A" w:rsidRDefault="00D1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C89" w:rsidRDefault="004402D2" w:rsidP="007C3B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6C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C89" w:rsidRDefault="002C6C89" w:rsidP="009043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C89" w:rsidRDefault="004402D2" w:rsidP="007C3B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6C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6D9">
      <w:rPr>
        <w:rStyle w:val="PageNumber"/>
        <w:noProof/>
      </w:rPr>
      <w:t>3</w:t>
    </w:r>
    <w:r>
      <w:rPr>
        <w:rStyle w:val="PageNumber"/>
      </w:rPr>
      <w:fldChar w:fldCharType="end"/>
    </w:r>
  </w:p>
  <w:p w:rsidR="002C6C89" w:rsidRDefault="002C6C89" w:rsidP="0090439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F1"/>
    <w:rsid w:val="000670CD"/>
    <w:rsid w:val="0007245B"/>
    <w:rsid w:val="00086DDF"/>
    <w:rsid w:val="000B74FA"/>
    <w:rsid w:val="000F4FBB"/>
    <w:rsid w:val="00174C9C"/>
    <w:rsid w:val="00217844"/>
    <w:rsid w:val="00224647"/>
    <w:rsid w:val="002C6C89"/>
    <w:rsid w:val="002E4131"/>
    <w:rsid w:val="00361DF1"/>
    <w:rsid w:val="003640FD"/>
    <w:rsid w:val="00380340"/>
    <w:rsid w:val="004402D2"/>
    <w:rsid w:val="00453247"/>
    <w:rsid w:val="004B1ADB"/>
    <w:rsid w:val="004B4E6D"/>
    <w:rsid w:val="00513D89"/>
    <w:rsid w:val="00520512"/>
    <w:rsid w:val="006256D9"/>
    <w:rsid w:val="006C037D"/>
    <w:rsid w:val="006E7832"/>
    <w:rsid w:val="0076458E"/>
    <w:rsid w:val="00766A93"/>
    <w:rsid w:val="007C3B9C"/>
    <w:rsid w:val="00904394"/>
    <w:rsid w:val="009319C9"/>
    <w:rsid w:val="00956B5F"/>
    <w:rsid w:val="009754FF"/>
    <w:rsid w:val="009F5A1B"/>
    <w:rsid w:val="00A37304"/>
    <w:rsid w:val="00A45AFA"/>
    <w:rsid w:val="00B5670C"/>
    <w:rsid w:val="00BF7BB0"/>
    <w:rsid w:val="00C415CD"/>
    <w:rsid w:val="00D1280A"/>
    <w:rsid w:val="00D26C89"/>
    <w:rsid w:val="00DA4328"/>
    <w:rsid w:val="00E768C9"/>
    <w:rsid w:val="00EE1562"/>
    <w:rsid w:val="00F14714"/>
    <w:rsid w:val="00F23608"/>
    <w:rsid w:val="00FA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B1E97"/>
  <w15:docId w15:val="{3B8AD583-5CA8-014B-B19D-0B422EF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D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361DF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361DF1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382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361DF1"/>
    <w:pPr>
      <w:spacing w:after="400"/>
      <w:contextualSpacing/>
    </w:pPr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361DF1"/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paragraph" w:customStyle="1" w:styleId="RowHeading">
    <w:name w:val="Row Heading"/>
    <w:basedOn w:val="Normal"/>
    <w:uiPriority w:val="5"/>
    <w:qFormat/>
    <w:rsid w:val="00361DF1"/>
    <w:rPr>
      <w:b/>
      <w:bCs/>
    </w:rPr>
  </w:style>
  <w:style w:type="table" w:styleId="TableGrid">
    <w:name w:val="Table Grid"/>
    <w:basedOn w:val="TableNormal"/>
    <w:uiPriority w:val="39"/>
    <w:rsid w:val="00361D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qFormat/>
    <w:rsid w:val="00361DF1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rsid w:val="00361DF1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361DF1"/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styleId="ListNumber">
    <w:name w:val="List Number"/>
    <w:basedOn w:val="Normal"/>
    <w:uiPriority w:val="9"/>
    <w:unhideWhenUsed/>
    <w:qFormat/>
    <w:rsid w:val="00361DF1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361DF1"/>
    <w:rPr>
      <w:rFonts w:asciiTheme="majorHAnsi" w:eastAsiaTheme="majorEastAsia" w:hAnsiTheme="majorHAnsi" w:cstheme="majorBidi"/>
      <w:color w:val="F38200" w:themeColor="accen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61DF1"/>
    <w:pPr>
      <w:spacing w:after="0" w:line="240" w:lineRule="auto"/>
      <w:jc w:val="right"/>
    </w:pPr>
    <w:rPr>
      <w:color w:val="F382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361DF1"/>
    <w:rPr>
      <w:color w:val="F38200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043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394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04394"/>
  </w:style>
  <w:style w:type="paragraph" w:styleId="BalloonText">
    <w:name w:val="Balloon Text"/>
    <w:basedOn w:val="Normal"/>
    <w:link w:val="BalloonTextChar"/>
    <w:uiPriority w:val="99"/>
    <w:semiHidden/>
    <w:unhideWhenUsed/>
    <w:rsid w:val="00F2360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0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Agenda items</vt:lpstr>
      <vt:lpstr>    Additional information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Frankfurt</dc:creator>
  <cp:keywords/>
  <dc:description/>
  <cp:lastModifiedBy>Microsoft Office User</cp:lastModifiedBy>
  <cp:revision>21</cp:revision>
  <cp:lastPrinted>2018-04-08T21:10:00Z</cp:lastPrinted>
  <dcterms:created xsi:type="dcterms:W3CDTF">2018-04-08T20:33:00Z</dcterms:created>
  <dcterms:modified xsi:type="dcterms:W3CDTF">2018-05-06T20:12:00Z</dcterms:modified>
</cp:coreProperties>
</file>